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898" w:right="1603"/>
        <w:jc w:val="center"/>
        <w:rPr>
          <w:u w:val="none"/>
        </w:rPr>
      </w:pPr>
      <w:r>
        <w:rPr>
          <w:u w:val="thick"/>
        </w:rPr>
        <w:t>SUNY POTSDAM FREQUENTLY USED FAX NUMBERS</w:t>
      </w:r>
    </w:p>
    <w:p>
      <w:pPr>
        <w:spacing w:line="240" w:lineRule="auto" w:before="1" w:after="0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1"/>
        <w:gridCol w:w="551"/>
        <w:gridCol w:w="267"/>
        <w:gridCol w:w="4593"/>
        <w:gridCol w:w="551"/>
      </w:tblGrid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Admissions</w:t>
            </w:r>
          </w:p>
        </w:tc>
        <w:tc>
          <w:tcPr>
            <w:tcW w:w="551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Non-Credit, Conferences and Special Programs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Anthropology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7"/>
              <w:rPr>
                <w:sz w:val="20"/>
              </w:rPr>
            </w:pPr>
            <w:r>
              <w:rPr>
                <w:sz w:val="20"/>
              </w:rPr>
              <w:t>North Country Tutorial Outreach Program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5" w:right="23"/>
              <w:jc w:val="center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Art</w:t>
            </w:r>
          </w:p>
        </w:tc>
        <w:tc>
          <w:tcPr>
            <w:tcW w:w="551" w:type="dxa"/>
          </w:tcPr>
          <w:p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Northland Associates</w:t>
            </w:r>
          </w:p>
        </w:tc>
        <w:tc>
          <w:tcPr>
            <w:tcW w:w="551" w:type="dxa"/>
          </w:tcPr>
          <w:p>
            <w:pPr>
              <w:pStyle w:val="TableParagraph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Associated Colleges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Non-Credit, Conferences and Special Programs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Athletics, Health, Physical Education &amp; Recreation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North Country Tutorial Outreach Program</w:t>
            </w:r>
          </w:p>
        </w:tc>
        <w:tc>
          <w:tcPr>
            <w:tcW w:w="551" w:type="dxa"/>
          </w:tcPr>
          <w:p>
            <w:pPr>
              <w:pStyle w:val="TableParagraph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Biology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9"/>
              <w:rPr>
                <w:sz w:val="20"/>
              </w:rPr>
            </w:pPr>
            <w:r>
              <w:rPr>
                <w:sz w:val="20"/>
              </w:rPr>
              <w:t>PACES Business Office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0"/>
              <w:jc w:val="center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Business Administration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PACES The College Store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Business Affairs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PACES Dining Services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Business &amp; Economics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Physical Plant</w:t>
            </w:r>
          </w:p>
        </w:tc>
        <w:tc>
          <w:tcPr>
            <w:tcW w:w="551" w:type="dxa"/>
          </w:tcPr>
          <w:p>
            <w:pPr>
              <w:pStyle w:val="TableParagraph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Campus Life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7"/>
              <w:rPr>
                <w:sz w:val="20"/>
              </w:rPr>
            </w:pPr>
            <w:r>
              <w:rPr>
                <w:sz w:val="20"/>
              </w:rPr>
              <w:t>Physical Plant/Heating Plant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Career Planning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Physical Plant/Maintenance</w:t>
            </w:r>
          </w:p>
        </w:tc>
        <w:tc>
          <w:tcPr>
            <w:tcW w:w="551" w:type="dxa"/>
          </w:tcPr>
          <w:p>
            <w:pPr>
              <w:pStyle w:val="TableParagraph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Center for Diversity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7"/>
              <w:rPr>
                <w:sz w:val="20"/>
              </w:rPr>
            </w:pPr>
            <w:r>
              <w:rPr>
                <w:sz w:val="20"/>
              </w:rPr>
              <w:t>Physical Plant/Site Representative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Center for Diversity/CSTEP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Physical Plant/Stockroom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Center for Diversity/NCSTEP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Center for Diversity/PATS</w:t>
            </w:r>
          </w:p>
        </w:tc>
        <w:tc>
          <w:tcPr>
            <w:tcW w:w="551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Potsdam Institute for Applied Research</w:t>
            </w:r>
          </w:p>
        </w:tc>
        <w:tc>
          <w:tcPr>
            <w:tcW w:w="551" w:type="dxa"/>
          </w:tcPr>
          <w:p>
            <w:pPr>
              <w:pStyle w:val="TableParagraph"/>
              <w:ind w:left="29" w:right="20"/>
              <w:jc w:val="center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Central Printing Services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Presidential Scholars’ Program</w:t>
            </w:r>
          </w:p>
        </w:tc>
        <w:tc>
          <w:tcPr>
            <w:tcW w:w="551" w:type="dxa"/>
          </w:tcPr>
          <w:p>
            <w:pPr>
              <w:pStyle w:val="TableParagraph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College Advancement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Provost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College Relations</w:t>
            </w:r>
          </w:p>
        </w:tc>
        <w:tc>
          <w:tcPr>
            <w:tcW w:w="551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551" w:type="dxa"/>
          </w:tcPr>
          <w:p>
            <w:pPr>
              <w:pStyle w:val="TableParagraph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Community Health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9"/>
              <w:rPr>
                <w:sz w:val="20"/>
              </w:rPr>
            </w:pPr>
            <w:r>
              <w:rPr>
                <w:sz w:val="20"/>
              </w:rPr>
              <w:t>Purchasing &amp; Payables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Community Performance Series</w:t>
            </w:r>
          </w:p>
        </w:tc>
        <w:tc>
          <w:tcPr>
            <w:tcW w:w="551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Registrar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Computer Science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7"/>
              <w:rPr>
                <w:sz w:val="20"/>
              </w:rPr>
            </w:pPr>
            <w:r>
              <w:rPr>
                <w:sz w:val="20"/>
              </w:rPr>
              <w:t>Research &amp; Sponsored Programs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Computing &amp; Technology Services-Kellas Hall</w:t>
            </w:r>
          </w:p>
        </w:tc>
        <w:tc>
          <w:tcPr>
            <w:tcW w:w="55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School of Arts &amp; Sciences</w:t>
            </w:r>
          </w:p>
        </w:tc>
        <w:tc>
          <w:tcPr>
            <w:tcW w:w="551" w:type="dxa"/>
          </w:tcPr>
          <w:p>
            <w:pPr>
              <w:pStyle w:val="TableParagraph"/>
              <w:ind w:left="25" w:right="23"/>
              <w:jc w:val="center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Computing &amp; Technology Services-Stillman Hall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9"/>
              <w:rPr>
                <w:sz w:val="20"/>
              </w:rPr>
            </w:pPr>
            <w:r>
              <w:rPr>
                <w:sz w:val="20"/>
              </w:rPr>
              <w:t>School of Education &amp; Professional Studies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5" w:right="23"/>
              <w:jc w:val="center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Counseling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Secondary Education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Crane Institute for Music Business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Sheard Literacy Center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Crane School of Music</w:t>
            </w:r>
          </w:p>
        </w:tc>
        <w:tc>
          <w:tcPr>
            <w:tcW w:w="55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Special Education</w:t>
            </w:r>
          </w:p>
        </w:tc>
        <w:tc>
          <w:tcPr>
            <w:tcW w:w="551" w:type="dxa"/>
          </w:tcPr>
          <w:p>
            <w:pPr>
              <w:pStyle w:val="TableParagraph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Curriculum &amp; Instruction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Sociology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DASNY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Sports Information Director</w:t>
            </w:r>
          </w:p>
        </w:tc>
        <w:tc>
          <w:tcPr>
            <w:tcW w:w="551" w:type="dxa"/>
          </w:tcPr>
          <w:p>
            <w:pPr>
              <w:pStyle w:val="TableParagraph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English &amp; Communication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Strengthening Grant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Extended Education</w:t>
            </w:r>
          </w:p>
        </w:tc>
        <w:tc>
          <w:tcPr>
            <w:tcW w:w="55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Student Accounts</w:t>
            </w:r>
          </w:p>
        </w:tc>
        <w:tc>
          <w:tcPr>
            <w:tcW w:w="551" w:type="dxa"/>
          </w:tcPr>
          <w:p>
            <w:pPr>
              <w:pStyle w:val="TableParagraph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</w:tr>
      <w:tr>
        <w:trPr>
          <w:trHeight w:val="331" w:hRule="atLeast"/>
        </w:trPr>
        <w:tc>
          <w:tcPr>
            <w:tcW w:w="4571" w:type="dxa"/>
          </w:tcPr>
          <w:p>
            <w:pPr>
              <w:pStyle w:val="TableParagraph"/>
              <w:spacing w:before="99"/>
              <w:ind w:left="20"/>
              <w:rPr>
                <w:sz w:val="20"/>
              </w:rPr>
            </w:pPr>
            <w:r>
              <w:rPr>
                <w:sz w:val="20"/>
              </w:rPr>
              <w:t>Field Experiences &amp; Teacher Certification</w:t>
            </w:r>
          </w:p>
        </w:tc>
        <w:tc>
          <w:tcPr>
            <w:tcW w:w="551" w:type="dxa"/>
          </w:tcPr>
          <w:p>
            <w:pPr>
              <w:pStyle w:val="TableParagraph"/>
              <w:spacing w:before="99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99"/>
              <w:ind w:left="18"/>
              <w:rPr>
                <w:sz w:val="20"/>
              </w:rPr>
            </w:pPr>
            <w:r>
              <w:rPr>
                <w:sz w:val="20"/>
              </w:rPr>
              <w:t>Student Government Association</w:t>
            </w:r>
          </w:p>
        </w:tc>
        <w:tc>
          <w:tcPr>
            <w:tcW w:w="551" w:type="dxa"/>
          </w:tcPr>
          <w:p>
            <w:pPr>
              <w:pStyle w:val="TableParagraph"/>
              <w:spacing w:before="99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Financial Aid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Student Health Services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Geology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Student Success Center/SSC Academic Advising</w:t>
            </w:r>
          </w:p>
        </w:tc>
        <w:tc>
          <w:tcPr>
            <w:tcW w:w="551" w:type="dxa"/>
          </w:tcPr>
          <w:p>
            <w:pPr>
              <w:pStyle w:val="TableParagraph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Gibson Gallery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Student Success Center/Experiential Education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Student Success Center/Special Programs/EOP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Honors Program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7"/>
              <w:rPr>
                <w:sz w:val="20"/>
              </w:rPr>
            </w:pPr>
            <w:r>
              <w:rPr>
                <w:sz w:val="20"/>
              </w:rPr>
              <w:t>Student Success Center/Student Support Services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Human Resources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St. Lawrence Valley Teachers’ Center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Institutional Effectiveness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9"/>
              <w:rPr>
                <w:sz w:val="20"/>
              </w:rPr>
            </w:pPr>
            <w:r>
              <w:rPr>
                <w:sz w:val="20"/>
              </w:rPr>
              <w:t>Student Health Services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Interdisciplinary Studies</w:t>
            </w:r>
          </w:p>
        </w:tc>
        <w:tc>
          <w:tcPr>
            <w:tcW w:w="551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SUNY Potsdam Child Care Center</w:t>
            </w:r>
          </w:p>
        </w:tc>
        <w:tc>
          <w:tcPr>
            <w:tcW w:w="551" w:type="dxa"/>
          </w:tcPr>
          <w:p>
            <w:pPr>
              <w:pStyle w:val="TableParagraph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Learning and Teaching Excellence Center (LTEC)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sz w:val="20"/>
              </w:rPr>
              <w:t>Teacher Education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Library – Crane</w:t>
            </w:r>
          </w:p>
        </w:tc>
        <w:tc>
          <w:tcPr>
            <w:tcW w:w="551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TelCom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Library – Frederick W. Crumb Memorial Library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7"/>
              <w:rPr>
                <w:sz w:val="20"/>
              </w:rPr>
            </w:pPr>
            <w:r>
              <w:rPr>
                <w:sz w:val="20"/>
              </w:rPr>
              <w:t>Theatre and Dance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55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University Police</w:t>
            </w:r>
          </w:p>
        </w:tc>
        <w:tc>
          <w:tcPr>
            <w:tcW w:w="551" w:type="dxa"/>
          </w:tcPr>
          <w:p>
            <w:pPr>
              <w:pStyle w:val="TableParagraph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>
        <w:trPr>
          <w:trHeight w:val="275" w:hRule="atLeast"/>
        </w:trPr>
        <w:tc>
          <w:tcPr>
            <w:tcW w:w="4571" w:type="dxa"/>
          </w:tcPr>
          <w:p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sz w:val="20"/>
              </w:rPr>
              <w:t>Merwin Rural Services Institute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before="42"/>
              <w:ind w:left="19"/>
              <w:rPr>
                <w:sz w:val="20"/>
              </w:rPr>
            </w:pPr>
            <w:r>
              <w:rPr>
                <w:sz w:val="20"/>
              </w:rPr>
              <w:t>USDA</w:t>
            </w:r>
          </w:p>
        </w:tc>
        <w:tc>
          <w:tcPr>
            <w:tcW w:w="551" w:type="dxa"/>
          </w:tcPr>
          <w:p>
            <w:pPr>
              <w:pStyle w:val="TableParagraph"/>
              <w:spacing w:before="42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</w:tr>
      <w:tr>
        <w:trPr>
          <w:trHeight w:val="274" w:hRule="atLeast"/>
        </w:trPr>
        <w:tc>
          <w:tcPr>
            <w:tcW w:w="4571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Modern Languages</w:t>
            </w:r>
          </w:p>
        </w:tc>
        <w:tc>
          <w:tcPr>
            <w:tcW w:w="551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920" w:bottom="28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1" w:line="213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bennetbs</dc:creator>
  <dc:title>Microsoft Word - SUNY POTSDAM FREQUENTLY USED FAX NUMBERS</dc:title>
  <dcterms:created xsi:type="dcterms:W3CDTF">2020-10-27T18:52:42Z</dcterms:created>
  <dcterms:modified xsi:type="dcterms:W3CDTF">2020-10-27T18:52:42Z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2020-10-27T00:00:00Z</vt:filetime>
  </property>
</Properties>
</file>